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3D" w:rsidRPr="00740A3D" w:rsidRDefault="00740A3D" w:rsidP="00E6451B">
      <w:pPr>
        <w:widowControl/>
        <w:rPr>
          <w:rFonts w:ascii="Times New Roman" w:eastAsia="Calibri" w:hAnsi="Times New Roman"/>
          <w:b/>
          <w:color w:val="auto"/>
          <w:sz w:val="28"/>
          <w:szCs w:val="28"/>
        </w:rPr>
      </w:pPr>
    </w:p>
    <w:p w:rsidR="00714C1D" w:rsidRPr="00714C1D" w:rsidRDefault="00714C1D" w:rsidP="00714C1D">
      <w:pPr>
        <w:widowControl/>
        <w:jc w:val="center"/>
        <w:rPr>
          <w:rFonts w:ascii="Times New Roman" w:hAnsi="Times New Roman"/>
          <w:b/>
          <w:color w:val="auto"/>
          <w:sz w:val="28"/>
          <w:szCs w:val="28"/>
        </w:rPr>
      </w:pPr>
      <w:bookmarkStart w:id="0" w:name="bookmark2"/>
      <w:r w:rsidRPr="00714C1D">
        <w:rPr>
          <w:rFonts w:ascii="Times New Roman" w:hAnsi="Times New Roman"/>
          <w:b/>
          <w:color w:val="auto"/>
          <w:sz w:val="28"/>
          <w:szCs w:val="28"/>
        </w:rPr>
        <w:t>СОВЕТ НАРОДНЫХ ДЕПУТАТОВ ЮДАНОВСКОГО СЕЛЬСКОГО ПОСЕЛЕНИЯ БОБРОВСКОГО  МУНИЦИПАЛЬНОГО  РАЙОНА  ВОРОНЕЖСКОЙ ОБЛАСТИ</w:t>
      </w:r>
    </w:p>
    <w:p w:rsidR="00714C1D" w:rsidRPr="00714C1D" w:rsidRDefault="00714C1D" w:rsidP="00714C1D">
      <w:pPr>
        <w:keepNext/>
        <w:keepLines/>
        <w:widowControl/>
        <w:spacing w:after="260" w:line="270" w:lineRule="exact"/>
        <w:outlineLvl w:val="1"/>
        <w:rPr>
          <w:rFonts w:ascii="Calibri" w:eastAsia="Calibri" w:hAnsi="Calibri"/>
          <w:color w:val="auto"/>
          <w:spacing w:val="70"/>
          <w:sz w:val="28"/>
          <w:shd w:val="clear" w:color="auto" w:fill="FFFFFF"/>
          <w:lang w:eastAsia="en-US"/>
        </w:rPr>
      </w:pPr>
    </w:p>
    <w:bookmarkEnd w:id="0"/>
    <w:p w:rsidR="00714C1D" w:rsidRPr="00714C1D" w:rsidRDefault="00714C1D" w:rsidP="00714C1D">
      <w:pPr>
        <w:keepNext/>
        <w:keepLines/>
        <w:widowControl/>
        <w:spacing w:after="260" w:line="270" w:lineRule="exact"/>
        <w:jc w:val="center"/>
        <w:outlineLvl w:val="1"/>
        <w:rPr>
          <w:rFonts w:ascii="Times New Roman" w:hAnsi="Times New Roman"/>
          <w:b/>
          <w:color w:val="auto"/>
          <w:spacing w:val="70"/>
          <w:sz w:val="32"/>
          <w:szCs w:val="27"/>
        </w:rPr>
      </w:pPr>
      <w:r w:rsidRPr="00714C1D">
        <w:rPr>
          <w:rFonts w:ascii="Times New Roman" w:hAnsi="Times New Roman"/>
          <w:b/>
          <w:color w:val="auto"/>
          <w:spacing w:val="70"/>
          <w:sz w:val="32"/>
          <w:szCs w:val="27"/>
        </w:rPr>
        <w:t>РЕШЕНИЕ</w:t>
      </w:r>
    </w:p>
    <w:p w:rsidR="00714C1D" w:rsidRPr="00714C1D" w:rsidRDefault="00714C1D" w:rsidP="00714C1D">
      <w:pPr>
        <w:keepNext/>
        <w:keepLines/>
        <w:widowControl/>
        <w:spacing w:after="260" w:line="270" w:lineRule="exact"/>
        <w:outlineLvl w:val="1"/>
        <w:rPr>
          <w:rFonts w:ascii="Times New Roman" w:hAnsi="Times New Roman"/>
          <w:b/>
          <w:color w:val="auto"/>
          <w:spacing w:val="70"/>
          <w:sz w:val="32"/>
          <w:szCs w:val="22"/>
        </w:rPr>
      </w:pPr>
    </w:p>
    <w:p w:rsidR="00714C1D" w:rsidRPr="00714C1D" w:rsidRDefault="00714C1D" w:rsidP="00714C1D">
      <w:pPr>
        <w:keepNext/>
        <w:keepLines/>
        <w:widowControl/>
        <w:spacing w:line="270" w:lineRule="exact"/>
        <w:outlineLvl w:val="1"/>
        <w:rPr>
          <w:rFonts w:ascii="Times New Roman" w:hAnsi="Times New Roman"/>
          <w:color w:val="auto"/>
          <w:sz w:val="28"/>
          <w:szCs w:val="22"/>
        </w:rPr>
      </w:pPr>
      <w:r w:rsidRPr="00714C1D">
        <w:rPr>
          <w:rFonts w:ascii="Times New Roman" w:hAnsi="Times New Roman"/>
          <w:color w:val="auto"/>
          <w:sz w:val="28"/>
          <w:szCs w:val="22"/>
        </w:rPr>
        <w:t>От    «14»   октября  2021 г      №  2</w:t>
      </w:r>
      <w:r>
        <w:rPr>
          <w:rFonts w:ascii="Times New Roman" w:hAnsi="Times New Roman"/>
          <w:color w:val="auto"/>
          <w:sz w:val="28"/>
          <w:szCs w:val="22"/>
        </w:rPr>
        <w:t>5</w:t>
      </w:r>
    </w:p>
    <w:p w:rsidR="00714C1D" w:rsidRPr="00714C1D" w:rsidRDefault="00714C1D" w:rsidP="00714C1D">
      <w:pPr>
        <w:keepNext/>
        <w:keepLines/>
        <w:widowControl/>
        <w:spacing w:line="270" w:lineRule="exact"/>
        <w:outlineLvl w:val="1"/>
        <w:rPr>
          <w:rFonts w:ascii="Times New Roman" w:hAnsi="Times New Roman"/>
          <w:color w:val="auto"/>
          <w:sz w:val="24"/>
          <w:szCs w:val="24"/>
        </w:rPr>
      </w:pPr>
      <w:r w:rsidRPr="00714C1D">
        <w:rPr>
          <w:rFonts w:ascii="Times New Roman" w:hAnsi="Times New Roman"/>
          <w:color w:val="auto"/>
          <w:sz w:val="28"/>
          <w:szCs w:val="22"/>
        </w:rPr>
        <w:t xml:space="preserve">    </w:t>
      </w:r>
      <w:proofErr w:type="spellStart"/>
      <w:r w:rsidRPr="00714C1D">
        <w:rPr>
          <w:rFonts w:ascii="Times New Roman" w:hAnsi="Times New Roman"/>
          <w:color w:val="auto"/>
          <w:sz w:val="24"/>
          <w:szCs w:val="22"/>
        </w:rPr>
        <w:t>с</w:t>
      </w:r>
      <w:proofErr w:type="gramStart"/>
      <w:r w:rsidRPr="00714C1D">
        <w:rPr>
          <w:rFonts w:ascii="Times New Roman" w:hAnsi="Times New Roman"/>
          <w:color w:val="auto"/>
          <w:sz w:val="24"/>
          <w:szCs w:val="22"/>
        </w:rPr>
        <w:t>.Ю</w:t>
      </w:r>
      <w:proofErr w:type="gramEnd"/>
      <w:r w:rsidRPr="00714C1D">
        <w:rPr>
          <w:rFonts w:ascii="Times New Roman" w:hAnsi="Times New Roman"/>
          <w:color w:val="auto"/>
          <w:sz w:val="24"/>
          <w:szCs w:val="22"/>
        </w:rPr>
        <w:t>дановка</w:t>
      </w:r>
      <w:proofErr w:type="spellEnd"/>
    </w:p>
    <w:p w:rsidR="00740A3D" w:rsidRPr="00740A3D" w:rsidRDefault="00740A3D" w:rsidP="00740A3D">
      <w:pPr>
        <w:widowControl/>
        <w:jc w:val="center"/>
        <w:rPr>
          <w:rFonts w:ascii="Times New Roman" w:eastAsia="Calibri" w:hAnsi="Times New Roman"/>
          <w:b/>
          <w:color w:val="auto"/>
          <w:sz w:val="28"/>
          <w:szCs w:val="28"/>
        </w:rPr>
      </w:pPr>
    </w:p>
    <w:p w:rsidR="003A5EAF" w:rsidRPr="00740A3D" w:rsidRDefault="00740A3D" w:rsidP="005D6D4C">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5D6D4C">
        <w:rPr>
          <w:rFonts w:ascii="Times New Roman" w:eastAsia="Calibri" w:hAnsi="Times New Roman"/>
          <w:b/>
          <w:iCs/>
          <w:color w:val="auto"/>
          <w:sz w:val="28"/>
          <w:szCs w:val="28"/>
        </w:rPr>
        <w:t>Об утверждении положения о муниципальном жилищном контроле н</w:t>
      </w:r>
      <w:r w:rsidRPr="005D6D4C">
        <w:rPr>
          <w:rFonts w:ascii="Times New Roman" w:eastAsia="Calibri" w:hAnsi="Times New Roman"/>
          <w:b/>
          <w:color w:val="auto"/>
          <w:sz w:val="28"/>
          <w:szCs w:val="28"/>
        </w:rPr>
        <w:t xml:space="preserve">а территории </w:t>
      </w:r>
      <w:r w:rsidR="00714C1D">
        <w:rPr>
          <w:rFonts w:ascii="Times New Roman" w:eastAsia="Calibri" w:hAnsi="Times New Roman"/>
          <w:b/>
          <w:bCs/>
          <w:color w:val="auto"/>
          <w:kern w:val="28"/>
          <w:sz w:val="28"/>
          <w:szCs w:val="28"/>
        </w:rPr>
        <w:t>Юдановского сельского поселения Бобровского муниципального района Воронежской области</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5D6D4C" w:rsidRDefault="00740A3D" w:rsidP="005D6D4C">
      <w:pPr>
        <w:widowControl/>
        <w:spacing w:line="360" w:lineRule="auto"/>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w:t>
      </w:r>
      <w:r w:rsidR="00714C1D">
        <w:rPr>
          <w:rFonts w:ascii="Times New Roman" w:eastAsia="Calibri" w:hAnsi="Times New Roman"/>
          <w:color w:val="auto"/>
          <w:sz w:val="28"/>
          <w:szCs w:val="28"/>
        </w:rPr>
        <w:t>Юдановского сельского поселения Бобровского муниципального района Воронежской области</w:t>
      </w:r>
      <w:r w:rsidRPr="00740A3D">
        <w:rPr>
          <w:rFonts w:ascii="Times New Roman" w:eastAsia="Calibri" w:hAnsi="Times New Roman"/>
          <w:color w:val="auto"/>
          <w:sz w:val="28"/>
          <w:szCs w:val="28"/>
        </w:rPr>
        <w:t xml:space="preserve">, </w:t>
      </w:r>
      <w:r w:rsidR="005D6D4C">
        <w:rPr>
          <w:rFonts w:ascii="Times New Roman" w:eastAsia="Calibri" w:hAnsi="Times New Roman"/>
          <w:color w:val="auto"/>
          <w:sz w:val="28"/>
          <w:szCs w:val="28"/>
        </w:rPr>
        <w:t>С</w:t>
      </w:r>
      <w:r w:rsidRPr="00740A3D">
        <w:rPr>
          <w:rFonts w:ascii="Times New Roman" w:eastAsia="Calibri" w:hAnsi="Times New Roman"/>
          <w:color w:val="auto"/>
          <w:sz w:val="28"/>
          <w:szCs w:val="28"/>
        </w:rPr>
        <w:t>овет</w:t>
      </w:r>
      <w:r w:rsidR="005D6D4C">
        <w:rPr>
          <w:rFonts w:ascii="Times New Roman" w:eastAsia="Calibri" w:hAnsi="Times New Roman"/>
          <w:color w:val="auto"/>
          <w:sz w:val="28"/>
          <w:szCs w:val="28"/>
        </w:rPr>
        <w:t xml:space="preserve"> народных</w:t>
      </w:r>
      <w:r w:rsidRPr="00740A3D">
        <w:rPr>
          <w:rFonts w:ascii="Times New Roman" w:eastAsia="Calibri" w:hAnsi="Times New Roman"/>
          <w:color w:val="auto"/>
          <w:sz w:val="28"/>
          <w:szCs w:val="28"/>
        </w:rPr>
        <w:t xml:space="preserve"> депутатов </w:t>
      </w:r>
      <w:r w:rsidR="00714C1D">
        <w:rPr>
          <w:rFonts w:ascii="Times New Roman" w:eastAsia="Calibri" w:hAnsi="Times New Roman"/>
          <w:color w:val="auto"/>
          <w:sz w:val="28"/>
          <w:szCs w:val="28"/>
        </w:rPr>
        <w:t>Юдановского сельского поселения</w:t>
      </w:r>
      <w:r w:rsidR="005D6D4C">
        <w:rPr>
          <w:rFonts w:ascii="Times New Roman" w:eastAsia="Calibri" w:hAnsi="Times New Roman"/>
          <w:color w:val="auto"/>
          <w:sz w:val="28"/>
          <w:szCs w:val="28"/>
        </w:rPr>
        <w:t xml:space="preserve"> </w:t>
      </w:r>
      <w:r w:rsidR="00714C1D">
        <w:rPr>
          <w:rFonts w:ascii="Times New Roman" w:eastAsia="Calibri" w:hAnsi="Times New Roman"/>
          <w:color w:val="auto"/>
          <w:sz w:val="28"/>
          <w:szCs w:val="28"/>
        </w:rPr>
        <w:t>Бобровского муниципального района Воронежской области</w:t>
      </w:r>
      <w:r w:rsidR="00714C1D" w:rsidRPr="00740A3D">
        <w:rPr>
          <w:rFonts w:ascii="Times New Roman" w:eastAsiaTheme="minorHAnsi" w:hAnsi="Times New Roman"/>
          <w:b/>
          <w:color w:val="auto"/>
          <w:sz w:val="28"/>
          <w:szCs w:val="28"/>
        </w:rPr>
        <w:t xml:space="preserve"> </w:t>
      </w:r>
      <w:proofErr w:type="spellStart"/>
      <w:proofErr w:type="gramStart"/>
      <w:r w:rsidR="005D6D4C" w:rsidRPr="00740A3D">
        <w:rPr>
          <w:rFonts w:ascii="Times New Roman" w:eastAsiaTheme="minorHAnsi" w:hAnsi="Times New Roman"/>
          <w:b/>
          <w:color w:val="auto"/>
          <w:sz w:val="28"/>
          <w:szCs w:val="28"/>
        </w:rPr>
        <w:t>р</w:t>
      </w:r>
      <w:proofErr w:type="spellEnd"/>
      <w:proofErr w:type="gramEnd"/>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е</w:t>
      </w:r>
      <w:r w:rsidR="005D6D4C">
        <w:rPr>
          <w:rFonts w:ascii="Times New Roman" w:eastAsiaTheme="minorHAnsi" w:hAnsi="Times New Roman"/>
          <w:b/>
          <w:color w:val="auto"/>
          <w:sz w:val="28"/>
          <w:szCs w:val="28"/>
        </w:rPr>
        <w:t xml:space="preserve"> </w:t>
      </w:r>
      <w:proofErr w:type="spellStart"/>
      <w:r w:rsidR="005D6D4C" w:rsidRPr="00740A3D">
        <w:rPr>
          <w:rFonts w:ascii="Times New Roman" w:eastAsiaTheme="minorHAnsi" w:hAnsi="Times New Roman"/>
          <w:b/>
          <w:color w:val="auto"/>
          <w:sz w:val="28"/>
          <w:szCs w:val="28"/>
        </w:rPr>
        <w:t>ш</w:t>
      </w:r>
      <w:proofErr w:type="spellEnd"/>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и</w:t>
      </w:r>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л</w:t>
      </w:r>
      <w:r w:rsidRPr="00740A3D">
        <w:rPr>
          <w:rFonts w:ascii="Times New Roman" w:eastAsiaTheme="minorHAnsi" w:hAnsi="Times New Roman"/>
          <w:b/>
          <w:color w:val="auto"/>
          <w:sz w:val="28"/>
          <w:szCs w:val="28"/>
        </w:rPr>
        <w:t>:</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714C1D">
        <w:rPr>
          <w:rFonts w:ascii="Times New Roman" w:eastAsia="Calibri" w:hAnsi="Times New Roman"/>
          <w:color w:val="auto"/>
          <w:sz w:val="28"/>
          <w:szCs w:val="28"/>
        </w:rPr>
        <w:t>Юдановского сельского поселения</w:t>
      </w:r>
      <w:r w:rsidR="005D6D4C">
        <w:rPr>
          <w:rFonts w:ascii="Times New Roman" w:eastAsia="SimSun" w:hAnsi="Times New Roman" w:cs="Mangal"/>
          <w:bCs/>
          <w:color w:val="auto"/>
          <w:kern w:val="28"/>
          <w:sz w:val="28"/>
          <w:szCs w:val="28"/>
          <w:lang w:eastAsia="zh-CN" w:bidi="hi-IN"/>
        </w:rPr>
        <w:t xml:space="preserve"> </w:t>
      </w:r>
      <w:r w:rsidR="00714C1D">
        <w:rPr>
          <w:rFonts w:ascii="Times New Roman" w:eastAsia="Calibri" w:hAnsi="Times New Roman"/>
          <w:color w:val="auto"/>
          <w:sz w:val="28"/>
          <w:szCs w:val="28"/>
        </w:rPr>
        <w:t>Бобровского муниципального района Воронежской области</w:t>
      </w:r>
      <w:r w:rsidR="00714C1D" w:rsidRPr="00740A3D">
        <w:rPr>
          <w:rFonts w:ascii="Times New Roman" w:eastAsia="SimSun" w:hAnsi="Times New Roman"/>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740A3D" w:rsidRDefault="00740A3D" w:rsidP="00740A3D">
      <w:pPr>
        <w:rPr>
          <w:rFonts w:ascii="Times New Roman" w:hAnsi="Times New Roman"/>
          <w:color w:val="auto"/>
          <w:sz w:val="28"/>
          <w:szCs w:val="28"/>
        </w:rPr>
      </w:pPr>
      <w:r w:rsidRPr="00740A3D">
        <w:rPr>
          <w:rFonts w:ascii="Times New Roman" w:hAnsi="Times New Roman"/>
          <w:color w:val="auto"/>
          <w:sz w:val="28"/>
          <w:szCs w:val="28"/>
        </w:rPr>
        <w:t xml:space="preserve">Глава </w:t>
      </w:r>
      <w:r w:rsidR="00714C1D">
        <w:rPr>
          <w:rFonts w:ascii="Times New Roman" w:hAnsi="Times New Roman"/>
          <w:color w:val="auto"/>
          <w:sz w:val="28"/>
          <w:szCs w:val="28"/>
        </w:rPr>
        <w:t xml:space="preserve">Юдановского сельского </w:t>
      </w:r>
      <w:r w:rsidR="005D6D4C">
        <w:rPr>
          <w:rFonts w:ascii="Times New Roman" w:hAnsi="Times New Roman"/>
          <w:color w:val="auto"/>
          <w:sz w:val="28"/>
          <w:szCs w:val="28"/>
        </w:rPr>
        <w:t xml:space="preserve"> поселения</w:t>
      </w:r>
    </w:p>
    <w:p w:rsidR="005D6D4C" w:rsidRDefault="005D6D4C" w:rsidP="00740A3D">
      <w:pPr>
        <w:rPr>
          <w:rFonts w:ascii="Times New Roman" w:hAnsi="Times New Roman"/>
          <w:color w:val="auto"/>
          <w:sz w:val="28"/>
          <w:szCs w:val="28"/>
        </w:rPr>
      </w:pPr>
      <w:r>
        <w:rPr>
          <w:rFonts w:ascii="Times New Roman" w:hAnsi="Times New Roman"/>
          <w:color w:val="auto"/>
          <w:sz w:val="28"/>
          <w:szCs w:val="28"/>
        </w:rPr>
        <w:t>Бобровского муниципального района</w:t>
      </w:r>
    </w:p>
    <w:p w:rsidR="005D6D4C" w:rsidRPr="00740A3D" w:rsidRDefault="005D6D4C" w:rsidP="00740A3D">
      <w:pPr>
        <w:rPr>
          <w:rFonts w:ascii="Times New Roman" w:hAnsi="Times New Roman"/>
          <w:b/>
          <w:color w:val="auto"/>
          <w:sz w:val="28"/>
          <w:szCs w:val="28"/>
        </w:rPr>
      </w:pPr>
      <w:r>
        <w:rPr>
          <w:rFonts w:ascii="Times New Roman" w:hAnsi="Times New Roman"/>
          <w:color w:val="auto"/>
          <w:sz w:val="28"/>
          <w:szCs w:val="28"/>
        </w:rPr>
        <w:t>Воронежской области</w:t>
      </w:r>
      <w:r w:rsidR="00714C1D">
        <w:rPr>
          <w:rFonts w:ascii="Times New Roman" w:hAnsi="Times New Roman"/>
          <w:color w:val="auto"/>
          <w:sz w:val="28"/>
          <w:szCs w:val="28"/>
        </w:rPr>
        <w:t xml:space="preserve">                                                                     С.И.Мельникова</w:t>
      </w:r>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5D6D4C" w:rsidRDefault="005D6D4C" w:rsidP="005D6D4C">
      <w:pPr>
        <w:widowControl/>
        <w:ind w:firstLine="5103"/>
        <w:rPr>
          <w:rFonts w:ascii="Times New Roman" w:hAnsi="Times New Roman"/>
          <w:sz w:val="28"/>
        </w:rPr>
      </w:pPr>
      <w:r>
        <w:rPr>
          <w:rFonts w:ascii="Times New Roman" w:hAnsi="Times New Roman"/>
          <w:sz w:val="28"/>
        </w:rPr>
        <w:t>УТВЕРЖДЕНО</w:t>
      </w:r>
    </w:p>
    <w:p w:rsidR="00E6451B" w:rsidRDefault="00740A3D" w:rsidP="005D6D4C">
      <w:pPr>
        <w:widowControl/>
        <w:autoSpaceDE w:val="0"/>
        <w:autoSpaceDN w:val="0"/>
        <w:adjustRightInd w:val="0"/>
        <w:ind w:firstLine="5103"/>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решени</w:t>
      </w:r>
      <w:r w:rsidR="005D6D4C">
        <w:rPr>
          <w:rFonts w:ascii="Times New Roman" w:eastAsiaTheme="minorHAnsi" w:hAnsi="Times New Roman"/>
          <w:color w:val="000000" w:themeColor="text1"/>
          <w:sz w:val="28"/>
          <w:szCs w:val="28"/>
        </w:rPr>
        <w:t>ем</w:t>
      </w:r>
      <w:r w:rsidRPr="00740A3D">
        <w:rPr>
          <w:rFonts w:ascii="Times New Roman" w:eastAsiaTheme="minorHAnsi" w:hAnsi="Times New Roman"/>
          <w:color w:val="000000" w:themeColor="text1"/>
          <w:sz w:val="28"/>
          <w:szCs w:val="28"/>
        </w:rPr>
        <w:t xml:space="preserve"> </w:t>
      </w:r>
      <w:r w:rsidR="005D6D4C">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овета</w:t>
      </w:r>
      <w:r w:rsidR="005D6D4C">
        <w:rPr>
          <w:rFonts w:ascii="Times New Roman" w:eastAsiaTheme="minorHAnsi" w:hAnsi="Times New Roman"/>
          <w:color w:val="000000" w:themeColor="text1"/>
          <w:sz w:val="28"/>
          <w:szCs w:val="28"/>
        </w:rPr>
        <w:t xml:space="preserve"> народных</w:t>
      </w:r>
      <w:r w:rsidRPr="00740A3D">
        <w:rPr>
          <w:rFonts w:ascii="Times New Roman" w:eastAsiaTheme="minorHAnsi" w:hAnsi="Times New Roman"/>
          <w:color w:val="000000" w:themeColor="text1"/>
          <w:sz w:val="28"/>
          <w:szCs w:val="28"/>
        </w:rPr>
        <w:t xml:space="preserve"> депутатов </w:t>
      </w:r>
    </w:p>
    <w:p w:rsidR="00E6451B" w:rsidRDefault="00714C1D" w:rsidP="005D6D4C">
      <w:pPr>
        <w:widowControl/>
        <w:autoSpaceDE w:val="0"/>
        <w:autoSpaceDN w:val="0"/>
        <w:adjustRightInd w:val="0"/>
        <w:ind w:firstLine="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Юдановского сельского </w:t>
      </w:r>
      <w:r w:rsidR="00E6451B">
        <w:rPr>
          <w:rFonts w:ascii="Times New Roman" w:eastAsiaTheme="minorHAnsi" w:hAnsi="Times New Roman"/>
          <w:color w:val="000000" w:themeColor="text1"/>
          <w:sz w:val="28"/>
          <w:szCs w:val="28"/>
        </w:rPr>
        <w:t xml:space="preserve">поселения </w:t>
      </w:r>
    </w:p>
    <w:p w:rsidR="005D6D4C" w:rsidRDefault="005D6D4C" w:rsidP="005D6D4C">
      <w:pPr>
        <w:widowControl/>
        <w:autoSpaceDE w:val="0"/>
        <w:autoSpaceDN w:val="0"/>
        <w:adjustRightInd w:val="0"/>
        <w:ind w:left="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Бобровского муниципального района Воронежской области</w:t>
      </w:r>
    </w:p>
    <w:p w:rsidR="00740A3D" w:rsidRPr="00740A3D" w:rsidRDefault="00861152" w:rsidP="005D6D4C">
      <w:pPr>
        <w:widowControl/>
        <w:autoSpaceDE w:val="0"/>
        <w:autoSpaceDN w:val="0"/>
        <w:adjustRightInd w:val="0"/>
        <w:ind w:firstLine="5103"/>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w:t>
      </w:r>
      <w:r w:rsidR="00714C1D">
        <w:rPr>
          <w:rFonts w:ascii="Times New Roman" w:eastAsiaTheme="minorHAnsi" w:hAnsi="Times New Roman"/>
          <w:color w:val="000000" w:themeColor="text1"/>
          <w:sz w:val="28"/>
          <w:szCs w:val="28"/>
        </w:rPr>
        <w:t xml:space="preserve">14 октября </w:t>
      </w:r>
      <w:r>
        <w:rPr>
          <w:rFonts w:ascii="Times New Roman" w:eastAsiaTheme="minorHAnsi" w:hAnsi="Times New Roman"/>
          <w:color w:val="000000" w:themeColor="text1"/>
          <w:sz w:val="28"/>
          <w:szCs w:val="28"/>
        </w:rPr>
        <w:t>2021 г №</w:t>
      </w:r>
      <w:r w:rsidR="00714C1D">
        <w:rPr>
          <w:rFonts w:ascii="Times New Roman" w:eastAsiaTheme="minorHAnsi" w:hAnsi="Times New Roman"/>
          <w:color w:val="000000" w:themeColor="text1"/>
          <w:sz w:val="28"/>
          <w:szCs w:val="28"/>
        </w:rPr>
        <w:t xml:space="preserve"> 25</w:t>
      </w:r>
      <w:r>
        <w:rPr>
          <w:rFonts w:ascii="Times New Roman" w:eastAsiaTheme="minorHAnsi" w:hAnsi="Times New Roman"/>
          <w:color w:val="000000" w:themeColor="text1"/>
          <w:sz w:val="28"/>
          <w:szCs w:val="28"/>
        </w:rPr>
        <w:t xml:space="preserve"> </w:t>
      </w:r>
    </w:p>
    <w:p w:rsidR="000E7BBF" w:rsidRPr="000E7BBF" w:rsidRDefault="000E7BBF" w:rsidP="00E6451B">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714C1D">
        <w:rPr>
          <w:rFonts w:ascii="Times New Roman" w:eastAsiaTheme="minorHAnsi" w:hAnsi="Times New Roman"/>
          <w:b/>
          <w:color w:val="000000" w:themeColor="text1"/>
          <w:sz w:val="28"/>
          <w:szCs w:val="28"/>
        </w:rPr>
        <w:t>Юдановского сельского поселения Бобровского муниципального района Воронежской области</w:t>
      </w:r>
    </w:p>
    <w:p w:rsidR="000E7BBF" w:rsidRPr="000E7BBF" w:rsidRDefault="000E7BBF" w:rsidP="000E7BBF">
      <w:pPr>
        <w:pStyle w:val="ConsPlusTitle"/>
        <w:jc w:val="center"/>
        <w:rPr>
          <w:b w:val="0"/>
          <w:sz w:val="28"/>
        </w:rPr>
      </w:pPr>
    </w:p>
    <w:p w:rsidR="000E7BBF" w:rsidRPr="005D6D4C" w:rsidRDefault="000E7BBF" w:rsidP="000E7BBF">
      <w:pPr>
        <w:pStyle w:val="ConsPlusNormal"/>
        <w:ind w:firstLine="0"/>
        <w:jc w:val="center"/>
        <w:rPr>
          <w:sz w:val="28"/>
        </w:rPr>
      </w:pPr>
      <w:r w:rsidRPr="005D6D4C">
        <w:rPr>
          <w:sz w:val="28"/>
        </w:rPr>
        <w:t>1.Общие положения</w:t>
      </w:r>
    </w:p>
    <w:p w:rsidR="000E7BBF" w:rsidRPr="000E7BBF" w:rsidRDefault="000E7BBF" w:rsidP="000E7BBF">
      <w:pPr>
        <w:pStyle w:val="ConsPlusNormal"/>
        <w:ind w:firstLine="567"/>
        <w:rPr>
          <w:sz w:val="28"/>
        </w:rPr>
      </w:pPr>
    </w:p>
    <w:p w:rsidR="000E7BBF" w:rsidRPr="00E6451B"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714C1D">
        <w:rPr>
          <w:rFonts w:ascii="Times New Roman" w:eastAsiaTheme="minorHAnsi" w:hAnsi="Times New Roman"/>
          <w:color w:val="000000" w:themeColor="text1"/>
          <w:sz w:val="28"/>
          <w:szCs w:val="28"/>
        </w:rPr>
        <w:t xml:space="preserve">Юдановского сельского поселения Бобровского муниципального района Воронежской области </w:t>
      </w:r>
      <w:r w:rsidRPr="00E6451B">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Pr>
          <w:rFonts w:ascii="Times New Roman" w:hAnsi="Times New Roman"/>
          <w:color w:val="auto"/>
          <w:sz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FE3A0D" w:rsidRDefault="000E7BBF" w:rsidP="000E7BBF">
      <w:pPr>
        <w:pStyle w:val="a8"/>
        <w:widowControl/>
        <w:tabs>
          <w:tab w:val="left" w:pos="1134"/>
        </w:tabs>
        <w:ind w:left="0" w:firstLine="709"/>
        <w:jc w:val="both"/>
        <w:rPr>
          <w:rFonts w:ascii="Times New Roman" w:hAnsi="Times New Roman"/>
          <w:sz w:val="28"/>
          <w:highlight w:val="yellow"/>
        </w:rPr>
      </w:pPr>
      <w:r w:rsidRPr="00FE3A0D">
        <w:rPr>
          <w:rFonts w:ascii="Times New Roman" w:hAnsi="Times New Roman"/>
          <w:sz w:val="28"/>
          <w:highlight w:val="yellow"/>
        </w:rPr>
        <w:t>1.4. Учет объектов контроля осуществляется посредством создания:</w:t>
      </w:r>
    </w:p>
    <w:p w:rsidR="000E7BBF" w:rsidRPr="00FE3A0D" w:rsidRDefault="000E7BBF" w:rsidP="000E7BBF">
      <w:pPr>
        <w:widowControl/>
        <w:ind w:firstLine="709"/>
        <w:jc w:val="both"/>
        <w:rPr>
          <w:rFonts w:ascii="Times New Roman" w:hAnsi="Times New Roman"/>
          <w:color w:val="auto"/>
          <w:sz w:val="28"/>
          <w:highlight w:val="yellow"/>
        </w:rPr>
      </w:pPr>
      <w:r w:rsidRPr="00FE3A0D">
        <w:rPr>
          <w:rFonts w:ascii="Times New Roman" w:hAnsi="Times New Roman"/>
          <w:color w:val="auto"/>
          <w:sz w:val="28"/>
          <w:highlight w:val="yellow"/>
        </w:rPr>
        <w:t xml:space="preserve">единого реестра контрольных мероприятий; </w:t>
      </w:r>
    </w:p>
    <w:p w:rsidR="000E7BBF" w:rsidRPr="00FE3A0D" w:rsidRDefault="000E7BBF" w:rsidP="000E7BBF">
      <w:pPr>
        <w:pStyle w:val="HTML"/>
        <w:ind w:firstLine="709"/>
        <w:jc w:val="both"/>
        <w:rPr>
          <w:rFonts w:ascii="Times New Roman" w:hAnsi="Times New Roman" w:cs="Times New Roman"/>
          <w:sz w:val="28"/>
          <w:highlight w:val="yellow"/>
        </w:rPr>
      </w:pPr>
      <w:r w:rsidRPr="00FE3A0D">
        <w:rPr>
          <w:rFonts w:ascii="Times New Roman" w:hAnsi="Times New Roman" w:cs="Times New Roman"/>
          <w:sz w:val="28"/>
          <w:highlight w:val="yellow"/>
        </w:rPr>
        <w:t xml:space="preserve">информационной системы </w:t>
      </w:r>
      <w:r w:rsidRPr="00FE3A0D">
        <w:rPr>
          <w:rFonts w:ascii="Times New Roman" w:hAnsi="Times New Roman" w:cs="Times New Roman"/>
          <w:sz w:val="28"/>
          <w:szCs w:val="28"/>
          <w:highlight w:val="yellow"/>
        </w:rPr>
        <w:t>(подсистемы государственной информационной системы</w:t>
      </w:r>
      <w:proofErr w:type="gramStart"/>
      <w:r w:rsidRPr="00FE3A0D">
        <w:rPr>
          <w:rFonts w:ascii="Times New Roman" w:hAnsi="Times New Roman" w:cs="Times New Roman"/>
          <w:sz w:val="28"/>
          <w:szCs w:val="28"/>
          <w:highlight w:val="yellow"/>
        </w:rPr>
        <w:t>)</w:t>
      </w:r>
      <w:r w:rsidRPr="00FE3A0D">
        <w:rPr>
          <w:rFonts w:ascii="Times New Roman" w:hAnsi="Times New Roman" w:cs="Times New Roman"/>
          <w:sz w:val="28"/>
          <w:highlight w:val="yellow"/>
        </w:rPr>
        <w:t>д</w:t>
      </w:r>
      <w:proofErr w:type="gramEnd"/>
      <w:r w:rsidRPr="00FE3A0D">
        <w:rPr>
          <w:rFonts w:ascii="Times New Roman" w:hAnsi="Times New Roman" w:cs="Times New Roman"/>
          <w:sz w:val="28"/>
          <w:highlight w:val="yellow"/>
        </w:rPr>
        <w:t>осудебного обжалования;</w:t>
      </w:r>
    </w:p>
    <w:p w:rsidR="000E7BBF" w:rsidRPr="000E7BBF" w:rsidRDefault="000E7BBF" w:rsidP="000E7BBF">
      <w:pPr>
        <w:pStyle w:val="ConsPlusNormal"/>
        <w:ind w:firstLine="709"/>
        <w:jc w:val="both"/>
        <w:rPr>
          <w:sz w:val="28"/>
        </w:rPr>
      </w:pPr>
      <w:r w:rsidRPr="00FE3A0D">
        <w:rPr>
          <w:sz w:val="28"/>
          <w:highlight w:val="yellow"/>
        </w:rPr>
        <w:t>иных государственных и муниципальных информационных</w:t>
      </w:r>
      <w:r w:rsidRPr="000E7BBF">
        <w:rPr>
          <w:sz w:val="28"/>
        </w:rPr>
        <w:t xml:space="preserve">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907ABC">
        <w:rPr>
          <w:rFonts w:ascii="Times New Roman" w:hAnsi="Times New Roman"/>
          <w:color w:val="auto"/>
          <w:sz w:val="28"/>
          <w:szCs w:val="22"/>
          <w:highlight w:val="yellow"/>
        </w:rPr>
        <w:t>Учет объектов контроля осуществляется с использованием информационной системы</w:t>
      </w:r>
      <w:r w:rsidRPr="002A3B33">
        <w:rPr>
          <w:rFonts w:ascii="Times New Roman" w:hAnsi="Times New Roman"/>
          <w:color w:val="auto"/>
          <w:sz w:val="28"/>
          <w:szCs w:val="22"/>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714C1D">
        <w:rPr>
          <w:rFonts w:ascii="Times New Roman" w:eastAsiaTheme="minorHAnsi" w:hAnsi="Times New Roman"/>
          <w:color w:val="000000" w:themeColor="text1"/>
          <w:sz w:val="28"/>
          <w:szCs w:val="28"/>
        </w:rPr>
        <w:t>Юдановского сельского</w:t>
      </w:r>
      <w:r w:rsidR="00E6451B">
        <w:rPr>
          <w:rFonts w:ascii="Times New Roman" w:eastAsiaTheme="minorHAnsi" w:hAnsi="Times New Roman"/>
          <w:color w:val="000000" w:themeColor="text1"/>
          <w:sz w:val="28"/>
          <w:szCs w:val="28"/>
        </w:rPr>
        <w:t xml:space="preserve"> поселени</w:t>
      </w:r>
      <w:proofErr w:type="gramStart"/>
      <w:r w:rsidR="00E6451B">
        <w:rPr>
          <w:rFonts w:ascii="Times New Roman" w:eastAsiaTheme="minorHAnsi" w:hAnsi="Times New Roman"/>
          <w:color w:val="000000" w:themeColor="text1"/>
          <w:sz w:val="28"/>
          <w:szCs w:val="28"/>
        </w:rPr>
        <w:t>я</w:t>
      </w:r>
      <w:r w:rsidRPr="000E7BBF">
        <w:rPr>
          <w:rFonts w:ascii="Times New Roman" w:hAnsi="Times New Roman"/>
          <w:sz w:val="28"/>
          <w:szCs w:val="28"/>
        </w:rPr>
        <w:t>(</w:t>
      </w:r>
      <w:proofErr w:type="gramEnd"/>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714C1D">
        <w:rPr>
          <w:rFonts w:ascii="Times New Roman" w:eastAsiaTheme="minorHAnsi" w:hAnsi="Times New Roman"/>
          <w:color w:val="000000" w:themeColor="text1"/>
          <w:sz w:val="28"/>
          <w:szCs w:val="28"/>
        </w:rPr>
        <w:t xml:space="preserve">Юдановского </w:t>
      </w:r>
      <w:r w:rsidR="00E6451B">
        <w:rPr>
          <w:rFonts w:ascii="Times New Roman" w:eastAsiaTheme="minorHAnsi" w:hAnsi="Times New Roman"/>
          <w:color w:val="000000" w:themeColor="text1"/>
          <w:sz w:val="28"/>
          <w:szCs w:val="28"/>
        </w:rPr>
        <w:t>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714C1D">
        <w:rPr>
          <w:rFonts w:ascii="Times New Roman" w:eastAsiaTheme="minorHAnsi" w:hAnsi="Times New Roman"/>
          <w:color w:val="000000" w:themeColor="text1"/>
          <w:sz w:val="28"/>
          <w:szCs w:val="28"/>
        </w:rPr>
        <w:t>Юдановского сельского поселения</w:t>
      </w:r>
      <w:r w:rsidRPr="000E7BBF">
        <w:rPr>
          <w:rFonts w:ascii="Times New Roman" w:hAnsi="Times New Roman"/>
          <w:sz w:val="28"/>
          <w:szCs w:val="28"/>
        </w:rPr>
        <w:t>;</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907ABC">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0E7BBF">
        <w:rPr>
          <w:rFonts w:ascii="Times New Roman" w:hAnsi="Times New Roman"/>
          <w:sz w:val="28"/>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0E7BBF">
        <w:rPr>
          <w:rFonts w:ascii="Times New Roman" w:hAnsi="Times New Roman"/>
          <w:sz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 xml:space="preserve">договора найма жилого помещения жилищного фонда </w:t>
      </w:r>
      <w:r w:rsidRPr="000E7BBF">
        <w:rPr>
          <w:rFonts w:ascii="Times New Roman" w:hAnsi="Times New Roman"/>
          <w:bCs/>
          <w:sz w:val="28"/>
          <w:szCs w:val="28"/>
        </w:rPr>
        <w:lastRenderedPageBreak/>
        <w:t>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w:t>
      </w:r>
      <w:r w:rsidRPr="000E7BBF">
        <w:rPr>
          <w:rFonts w:ascii="Times New Roman" w:hAnsi="Times New Roman"/>
          <w:sz w:val="28"/>
        </w:rPr>
        <w:lastRenderedPageBreak/>
        <w:t>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w:t>
      </w:r>
      <w:r w:rsidRPr="006926F0">
        <w:rPr>
          <w:rFonts w:ascii="Times New Roman" w:hAnsi="Times New Roman"/>
          <w:sz w:val="28"/>
        </w:rPr>
        <w:t xml:space="preserve">Перечень индикаторов риска нарушения </w:t>
      </w:r>
      <w:proofErr w:type="gramStart"/>
      <w:r w:rsidRPr="006926F0">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6926F0">
        <w:rPr>
          <w:rFonts w:ascii="Times New Roman" w:hAnsi="Times New Roman"/>
          <w:sz w:val="28"/>
        </w:rPr>
        <w:t xml:space="preserve">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w:t>
      </w:r>
      <w:r w:rsidRPr="00907ABC">
        <w:rPr>
          <w:rStyle w:val="bumpedfont15"/>
          <w:sz w:val="28"/>
          <w:szCs w:val="28"/>
          <w:highlight w:val="yellow"/>
        </w:rPr>
        <w:t>.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Pr="00D124F0">
        <w:rPr>
          <w:rStyle w:val="bumpedfont15"/>
          <w:sz w:val="28"/>
          <w:szCs w:val="28"/>
        </w:rPr>
        <w:t xml:space="preserve"> № 248-ФЗ.</w:t>
      </w:r>
    </w:p>
    <w:p w:rsidR="00D124F0" w:rsidRDefault="00D124F0"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0E7BBF">
        <w:rPr>
          <w:rFonts w:ascii="Times New Roman" w:hAnsi="Times New Roman"/>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3E666D">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907ABC">
        <w:rPr>
          <w:rFonts w:ascii="Times New Roman" w:hAnsi="Times New Roman"/>
          <w:sz w:val="28"/>
        </w:rPr>
        <w:t xml:space="preserve"> </w:t>
      </w:r>
      <w:proofErr w:type="spellStart"/>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proofErr w:type="spellEnd"/>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spellStart"/>
      <w:r w:rsidRPr="009F074C">
        <w:rPr>
          <w:rFonts w:ascii="Times New Roman" w:hAnsi="Times New Roman"/>
          <w:sz w:val="28"/>
        </w:rPr>
        <w:t>видео-конференц-связи</w:t>
      </w:r>
      <w:proofErr w:type="spellEnd"/>
      <w:r w:rsidRPr="009F074C">
        <w:rPr>
          <w:rFonts w:ascii="Times New Roman" w:hAnsi="Times New Roman"/>
          <w:sz w:val="28"/>
        </w:rPr>
        <w:t>.</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07ABC">
        <w:rPr>
          <w:rFonts w:ascii="Times New Roman" w:hAnsi="Times New Roman"/>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proofErr w:type="gramStart"/>
      <w:r w:rsidR="00907ABC">
        <w:rPr>
          <w:sz w:val="28"/>
        </w:rPr>
        <w:t>–</w:t>
      </w:r>
      <w:r w:rsidR="00DE739C" w:rsidRPr="005C2D4E">
        <w:rPr>
          <w:sz w:val="28"/>
        </w:rPr>
        <w:t>п</w:t>
      </w:r>
      <w:proofErr w:type="gramEnd"/>
      <w:r w:rsidR="00DE739C" w:rsidRPr="005C2D4E">
        <w:rPr>
          <w:sz w:val="28"/>
        </w:rPr>
        <w:t>ри</w:t>
      </w:r>
      <w:r w:rsidR="00907ABC">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proofErr w:type="gramStart"/>
      <w:r w:rsidR="00325596" w:rsidRPr="005C2D4E">
        <w:rPr>
          <w:sz w:val="28"/>
        </w:rPr>
        <w:t>-</w:t>
      </w:r>
      <w:r w:rsidRPr="005C2D4E">
        <w:rPr>
          <w:sz w:val="28"/>
        </w:rPr>
        <w:t>б</w:t>
      </w:r>
      <w:proofErr w:type="gramEnd"/>
      <w:r w:rsidRPr="005C2D4E">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907ABC">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907ABC">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07ABC">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907ABC">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907ABC">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07ABC">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907ABC">
        <w:rPr>
          <w:rFonts w:ascii="Times New Roman" w:hAnsi="Times New Roman"/>
          <w:sz w:val="28"/>
        </w:rPr>
        <w:t xml:space="preserve"> </w:t>
      </w:r>
      <w:r w:rsidRPr="000E7BBF">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0E7BBF">
        <w:rPr>
          <w:rFonts w:ascii="Times New Roman" w:hAnsi="Times New Roman"/>
          <w:sz w:val="28"/>
        </w:rPr>
        <w:lastRenderedPageBreak/>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w:t>
      </w:r>
      <w:r w:rsidRPr="000E7BBF">
        <w:rPr>
          <w:rFonts w:ascii="Times New Roman" w:hAnsi="Times New Roman" w:cs="Times New Roman"/>
          <w:sz w:val="28"/>
          <w:szCs w:val="28"/>
        </w:rPr>
        <w:lastRenderedPageBreak/>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w:t>
      </w:r>
      <w:r w:rsidRPr="000E7BBF">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lastRenderedPageBreak/>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6926F0">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 xml:space="preserve">4.5.9. Акт направляется Контрольным органом контролируемому лицу в </w:t>
      </w:r>
      <w:r w:rsidRPr="000E7BBF">
        <w:rPr>
          <w:sz w:val="28"/>
        </w:rPr>
        <w:lastRenderedPageBreak/>
        <w:t>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6926F0">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lastRenderedPageBreak/>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r w:rsidRPr="000E7BBF">
        <w:rPr>
          <w:rFonts w:ascii="Times New Roman" w:hAnsi="Times New Roman" w:cs="Times New Roman"/>
          <w:sz w:val="28"/>
          <w:szCs w:val="28"/>
        </w:rPr>
        <w:lastRenderedPageBreak/>
        <w:t>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861152" w:rsidRDefault="000E7BBF" w:rsidP="00861152">
      <w:pPr>
        <w:widowControl/>
        <w:tabs>
          <w:tab w:val="left" w:pos="1134"/>
        </w:tabs>
        <w:jc w:val="both"/>
        <w:rPr>
          <w:rFonts w:ascii="Times New Roman" w:hAnsi="Times New Roman"/>
          <w:sz w:val="28"/>
        </w:rPr>
      </w:pPr>
    </w:p>
    <w:p w:rsidR="000E7BBF" w:rsidRPr="000E7BBF" w:rsidRDefault="000E7BBF" w:rsidP="000E7BBF">
      <w:pPr>
        <w:widowControl/>
        <w:rPr>
          <w:rFonts w:ascii="Times New Roman" w:hAnsi="Times New Roman"/>
          <w:sz w:val="28"/>
          <w:szCs w:val="28"/>
        </w:rPr>
      </w:pPr>
    </w:p>
    <w:p w:rsidR="00E91CD7" w:rsidRPr="006926F0" w:rsidRDefault="006926F0" w:rsidP="006926F0">
      <w:pPr>
        <w:pStyle w:val="ConsPlusNormal"/>
        <w:spacing w:line="192" w:lineRule="auto"/>
        <w:ind w:firstLine="709"/>
        <w:jc w:val="both"/>
        <w:outlineLvl w:val="1"/>
        <w:rPr>
          <w:sz w:val="28"/>
          <w:szCs w:val="28"/>
        </w:rPr>
      </w:pPr>
      <w:r w:rsidRPr="006926F0">
        <w:rPr>
          <w:sz w:val="28"/>
          <w:szCs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E91CD7" w:rsidRPr="006926F0" w:rsidRDefault="00E91CD7" w:rsidP="006926F0">
      <w:pPr>
        <w:pStyle w:val="ConsPlusNormal"/>
        <w:spacing w:line="192" w:lineRule="auto"/>
        <w:ind w:firstLine="709"/>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bookmarkStart w:id="11" w:name="_GoBack"/>
      <w:bookmarkEnd w:id="11"/>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6926F0" w:rsidRDefault="006926F0" w:rsidP="00D51060">
      <w:pPr>
        <w:jc w:val="center"/>
        <w:rPr>
          <w:rFonts w:ascii="Times New Roman" w:hAnsi="Times New Roman"/>
          <w:b/>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 xml:space="preserve">К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6926F0">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6926F0" w:rsidRDefault="006926F0"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proofErr w:type="spellStart"/>
      <w:r w:rsidRPr="000E7BBF">
        <w:rPr>
          <w:rFonts w:ascii="Times New Roman" w:hAnsi="Times New Roman"/>
          <w:sz w:val="28"/>
          <w:szCs w:val="28"/>
        </w:rPr>
        <w:t>д</w:t>
      </w:r>
      <w:proofErr w:type="spellEnd"/>
      <w:r w:rsidRPr="000E7BBF">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w:t>
      </w:r>
      <w:r w:rsidRPr="000E7BBF">
        <w:rPr>
          <w:rFonts w:ascii="Times New Roman" w:hAnsi="Times New Roman"/>
          <w:sz w:val="28"/>
          <w:szCs w:val="28"/>
        </w:rPr>
        <w:lastRenderedPageBreak/>
        <w:t>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E6451B">
          <w:headerReference w:type="default" r:id="rId14"/>
          <w:pgSz w:w="11906" w:h="16838"/>
          <w:pgMar w:top="568"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D2" w:rsidRDefault="00D74CD2" w:rsidP="000E7BBF">
      <w:r>
        <w:separator/>
      </w:r>
    </w:p>
  </w:endnote>
  <w:endnote w:type="continuationSeparator" w:id="0">
    <w:p w:rsidR="00D74CD2" w:rsidRDefault="00D74CD2"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D2" w:rsidRDefault="00D74CD2" w:rsidP="000E7BBF">
      <w:r>
        <w:separator/>
      </w:r>
    </w:p>
  </w:footnote>
  <w:footnote w:type="continuationSeparator" w:id="0">
    <w:p w:rsidR="00D74CD2" w:rsidRDefault="00D74CD2"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5D6D4C" w:rsidRDefault="00875050">
        <w:pPr>
          <w:pStyle w:val="ab"/>
          <w:jc w:val="center"/>
        </w:pPr>
        <w:fldSimple w:instr=" PAGE   \* MERGEFORMAT ">
          <w:r w:rsidR="00714C1D">
            <w:rPr>
              <w:noProof/>
            </w:rPr>
            <w:t>4</w:t>
          </w:r>
        </w:fldSimple>
      </w:p>
    </w:sdtContent>
  </w:sdt>
  <w:p w:rsidR="005D6D4C" w:rsidRDefault="005D6D4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D09E5"/>
    <w:rsid w:val="000E3328"/>
    <w:rsid w:val="000E7BBF"/>
    <w:rsid w:val="00101DA9"/>
    <w:rsid w:val="00123511"/>
    <w:rsid w:val="00133DF1"/>
    <w:rsid w:val="00156FED"/>
    <w:rsid w:val="00166C64"/>
    <w:rsid w:val="00172994"/>
    <w:rsid w:val="001921DB"/>
    <w:rsid w:val="001B18A3"/>
    <w:rsid w:val="001B47B6"/>
    <w:rsid w:val="001B7A53"/>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9201A"/>
    <w:rsid w:val="003A5EAF"/>
    <w:rsid w:val="003A627A"/>
    <w:rsid w:val="003D4147"/>
    <w:rsid w:val="003E666D"/>
    <w:rsid w:val="003F011E"/>
    <w:rsid w:val="00406EAE"/>
    <w:rsid w:val="00411A4A"/>
    <w:rsid w:val="004166A8"/>
    <w:rsid w:val="004320CB"/>
    <w:rsid w:val="00447252"/>
    <w:rsid w:val="00477305"/>
    <w:rsid w:val="004A7774"/>
    <w:rsid w:val="004B4793"/>
    <w:rsid w:val="004D05F5"/>
    <w:rsid w:val="004D3A51"/>
    <w:rsid w:val="005064B0"/>
    <w:rsid w:val="00525B92"/>
    <w:rsid w:val="00561533"/>
    <w:rsid w:val="00570D0F"/>
    <w:rsid w:val="00574994"/>
    <w:rsid w:val="00591AB7"/>
    <w:rsid w:val="005A6752"/>
    <w:rsid w:val="005C2D4E"/>
    <w:rsid w:val="005D5C79"/>
    <w:rsid w:val="005D6D4C"/>
    <w:rsid w:val="005E1BFA"/>
    <w:rsid w:val="00612CA0"/>
    <w:rsid w:val="00625F54"/>
    <w:rsid w:val="00641DD0"/>
    <w:rsid w:val="0067161D"/>
    <w:rsid w:val="0067760F"/>
    <w:rsid w:val="006926F0"/>
    <w:rsid w:val="006A4650"/>
    <w:rsid w:val="006B2ACD"/>
    <w:rsid w:val="006D4ABE"/>
    <w:rsid w:val="006F2EDA"/>
    <w:rsid w:val="00704189"/>
    <w:rsid w:val="00705CC1"/>
    <w:rsid w:val="00707B35"/>
    <w:rsid w:val="00714C1D"/>
    <w:rsid w:val="007159F8"/>
    <w:rsid w:val="00733FF8"/>
    <w:rsid w:val="00740A3D"/>
    <w:rsid w:val="00775DA7"/>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5050"/>
    <w:rsid w:val="008775CC"/>
    <w:rsid w:val="008A4EBA"/>
    <w:rsid w:val="008C559A"/>
    <w:rsid w:val="008E79FB"/>
    <w:rsid w:val="008F42E1"/>
    <w:rsid w:val="00907ABC"/>
    <w:rsid w:val="00925BC9"/>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924A9"/>
    <w:rsid w:val="00BB4A55"/>
    <w:rsid w:val="00BD1ADA"/>
    <w:rsid w:val="00C06AC1"/>
    <w:rsid w:val="00C70753"/>
    <w:rsid w:val="00C92C51"/>
    <w:rsid w:val="00CA32E6"/>
    <w:rsid w:val="00CD2977"/>
    <w:rsid w:val="00CD3E8B"/>
    <w:rsid w:val="00CE7007"/>
    <w:rsid w:val="00D03202"/>
    <w:rsid w:val="00D07ED0"/>
    <w:rsid w:val="00D124F0"/>
    <w:rsid w:val="00D34222"/>
    <w:rsid w:val="00D453D4"/>
    <w:rsid w:val="00D51060"/>
    <w:rsid w:val="00D51165"/>
    <w:rsid w:val="00D64DF7"/>
    <w:rsid w:val="00D74CD2"/>
    <w:rsid w:val="00DC14CC"/>
    <w:rsid w:val="00DC3C44"/>
    <w:rsid w:val="00DD2152"/>
    <w:rsid w:val="00DE357E"/>
    <w:rsid w:val="00DE67CE"/>
    <w:rsid w:val="00DE739C"/>
    <w:rsid w:val="00E15E9A"/>
    <w:rsid w:val="00E414E4"/>
    <w:rsid w:val="00E47230"/>
    <w:rsid w:val="00E6451B"/>
    <w:rsid w:val="00E91CD7"/>
    <w:rsid w:val="00EA66DF"/>
    <w:rsid w:val="00EB3507"/>
    <w:rsid w:val="00EB7F3D"/>
    <w:rsid w:val="00EF79A7"/>
    <w:rsid w:val="00F024CF"/>
    <w:rsid w:val="00F0326D"/>
    <w:rsid w:val="00F10AB2"/>
    <w:rsid w:val="00F12C4F"/>
    <w:rsid w:val="00F36AB0"/>
    <w:rsid w:val="00F42CB7"/>
    <w:rsid w:val="00F5561C"/>
    <w:rsid w:val="00F8010E"/>
    <w:rsid w:val="00F97189"/>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325743770">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706516417">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DBB1-399B-49B8-A89E-09210417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10960</Words>
  <Characters>62472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Udanivka</cp:lastModifiedBy>
  <cp:revision>6</cp:revision>
  <cp:lastPrinted>2021-09-27T13:31:00Z</cp:lastPrinted>
  <dcterms:created xsi:type="dcterms:W3CDTF">2021-10-14T12:57:00Z</dcterms:created>
  <dcterms:modified xsi:type="dcterms:W3CDTF">2021-10-15T06:00:00Z</dcterms:modified>
</cp:coreProperties>
</file>